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上海工程技术大学</w:t>
      </w:r>
    </w:p>
    <w:p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校级国际联合实验室（培育）项目</w:t>
      </w:r>
    </w:p>
    <w:p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（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 xml:space="preserve">2019.4 </w:t>
      </w:r>
      <w:r>
        <w:rPr>
          <w:rFonts w:hint="eastAsia" w:ascii="黑体" w:eastAsia="黑体"/>
          <w:b/>
          <w:sz w:val="40"/>
          <w:szCs w:val="40"/>
        </w:rPr>
        <w:t>-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eastAsia="黑体"/>
          <w:b/>
          <w:sz w:val="40"/>
          <w:szCs w:val="40"/>
        </w:rPr>
        <w:t>20</w:t>
      </w:r>
      <w:r>
        <w:rPr>
          <w:rFonts w:hint="eastAsia" w:ascii="黑体" w:eastAsia="黑体"/>
          <w:b/>
          <w:sz w:val="40"/>
          <w:szCs w:val="40"/>
          <w:lang w:val="en-US" w:eastAsia="zh-CN"/>
        </w:rPr>
        <w:t>21.4</w:t>
      </w:r>
      <w:r>
        <w:rPr>
          <w:rFonts w:hint="eastAsia" w:ascii="黑体" w:eastAsia="黑体"/>
          <w:b/>
          <w:sz w:val="40"/>
          <w:szCs w:val="40"/>
        </w:rPr>
        <w:t>）</w:t>
      </w:r>
    </w:p>
    <w:p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</w:p>
    <w:p>
      <w:pPr>
        <w:spacing w:line="560" w:lineRule="exact"/>
        <w:jc w:val="center"/>
        <w:rPr>
          <w:rFonts w:hint="default" w:ascii="黑体" w:eastAsia="黑体"/>
          <w:b/>
          <w:sz w:val="40"/>
          <w:szCs w:val="40"/>
          <w:lang w:val="en-US" w:eastAsia="zh-CN"/>
        </w:rPr>
      </w:pPr>
      <w:r>
        <w:rPr>
          <w:rFonts w:hint="eastAsia" w:ascii="黑体" w:eastAsia="黑体"/>
          <w:b/>
          <w:sz w:val="40"/>
          <w:szCs w:val="40"/>
          <w:lang w:val="en-US" w:eastAsia="zh-CN"/>
        </w:rPr>
        <w:t>中 期 考 核 表</w:t>
      </w:r>
    </w:p>
    <w:p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>
      <w:pPr>
        <w:spacing w:line="720" w:lineRule="auto"/>
        <w:ind w:firstLine="640" w:firstLineChars="20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学院</w:t>
      </w:r>
      <w:r>
        <w:rPr>
          <w:rFonts w:hint="eastAsia" w:ascii="宋体" w:hAnsi="宋体"/>
          <w:sz w:val="32"/>
          <w:szCs w:val="32"/>
        </w:rPr>
        <w:t>名称（盖章）：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720" w:lineRule="auto"/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实验室</w:t>
      </w:r>
      <w:r>
        <w:rPr>
          <w:rFonts w:hint="eastAsia"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/>
          <w:sz w:val="32"/>
          <w:szCs w:val="32"/>
          <w:u w:val="single"/>
        </w:rPr>
        <w:t xml:space="preserve">    </w:t>
      </w:r>
    </w:p>
    <w:p>
      <w:pPr>
        <w:spacing w:line="72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实验室负责人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</w:p>
    <w:p>
      <w:pPr>
        <w:spacing w:line="72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合作院校名称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</w:p>
    <w:p>
      <w:pPr>
        <w:spacing w:line="720" w:lineRule="auto"/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填报人姓名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</w:p>
    <w:p>
      <w:pPr>
        <w:spacing w:line="720" w:lineRule="auto"/>
        <w:ind w:firstLine="640" w:firstLineChars="20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val="en-US" w:eastAsia="zh-CN"/>
        </w:rPr>
        <w:t>填报人联系方式：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rPr>
          <w:rFonts w:ascii="黑体" w:eastAsia="黑体"/>
          <w:sz w:val="32"/>
          <w:u w:val="single"/>
        </w:rPr>
      </w:pPr>
    </w:p>
    <w:p>
      <w:pPr>
        <w:spacing w:line="560" w:lineRule="exact"/>
        <w:rPr>
          <w:rFonts w:ascii="黑体" w:eastAsia="黑体"/>
          <w:sz w:val="32"/>
          <w:u w:val="single"/>
        </w:rPr>
      </w:pPr>
    </w:p>
    <w:p>
      <w:pPr>
        <w:spacing w:line="560" w:lineRule="exact"/>
        <w:rPr>
          <w:rFonts w:ascii="黑体" w:eastAsia="黑体"/>
          <w:sz w:val="32"/>
          <w:u w:val="single"/>
        </w:rPr>
      </w:pPr>
    </w:p>
    <w:p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上海工程技术大学 制</w:t>
      </w:r>
    </w:p>
    <w:p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br w:type="page"/>
      </w:r>
    </w:p>
    <w:tbl>
      <w:tblPr>
        <w:tblStyle w:val="3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5205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22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实验室总体建设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与管理情况</w:t>
            </w:r>
          </w:p>
        </w:tc>
        <w:tc>
          <w:tcPr>
            <w:tcW w:w="5205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国际实验室协议得到全面执行，计划顺利实施，规划目标基本实现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140970</wp:posOffset>
                      </wp:positionV>
                      <wp:extent cx="1771015" cy="1123315"/>
                      <wp:effectExtent l="6350" t="6350" r="13335" b="165735"/>
                      <wp:wrapNone/>
                      <wp:docPr id="3" name="椭圆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965565" y="2420620"/>
                                <a:ext cx="1771015" cy="112331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填报指南：建设目标实现程度为具体分值（百分制）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-0.4pt;margin-top:11.1pt;height:88.45pt;width:139.45pt;z-index:251657216;v-text-anchor:middle;mso-width-relative:page;mso-height-relative:page;" fillcolor="#5B9BD5 [3204]" filled="t" stroked="t" coordsize="21600,21600" o:gfxdata="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0V&#10;RKDWAAAACAEAAA8AAAAAAAAAAQAgAAAAIgAAAGRycy9kb3ducmV2LnhtbFBLAQIUABQAAAAIAIdO&#10;4kB56MK2lwIAAPcEAAAOAAAAAAAAAAEAIAAAACUBAABkcnMvZTJvRG9jLnhtbFBLBQYAAAAABgAG&#10;AFkBAAAuBgAAAAA=&#10;" adj="6300,243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填报指南：建设目标实现程度为具体分值（百分制）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国际实验室成员具有更高的国际合作能力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国际实验室组织框架成熟、运作规范，有特色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建立了完善的国际实验室规章制度和定期中外学术交流机制，能够持续开展实质性的国际合作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有相对独立的国际实验室场地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229870</wp:posOffset>
                      </wp:positionV>
                      <wp:extent cx="1800225" cy="1047750"/>
                      <wp:effectExtent l="6350" t="6350" r="22225" b="146050"/>
                      <wp:wrapNone/>
                      <wp:docPr id="4" name="椭圆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477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填报指南：验收指标完成程度为具体数量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2.55pt;margin-top:18.1pt;height:82.5pt;width:141.75pt;z-index:251657216;v-text-anchor:middle;mso-width-relative:page;mso-height-relative:page;" fillcolor="#5B9BD5 [3204]" filled="t" stroked="t" coordsize="21600,21600" o:gfxdata="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PZfufXAAAACAEAAA8A&#10;AAAAAAAAAQAgAAAAIgAAAGRycy9kb3ducmV2LnhtbFBLAQIUABQAAAAIAIdO4kAdjweMigIAAOsE&#10;AAAOAAAAAAAAAAEAIAAAACYBAABkcnMvZTJvRG9jLnhtbFBLBQYAAAAABgAGAFkBAAAiBgAAAAA=&#10;" adj="6300,243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填报指南：验收指标完成程度为具体数量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验收指标完成程度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(即各项指标完成50%及以上)</w:t>
            </w: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中方研究人员不低于 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人，实际参与国际实验室研究工作的外籍研究人员比例不低于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（至少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人），引进合作方科研人员来学校联合开展 科学研究（学院须与合作方科研人员签订 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个月及以上的协议）≥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人 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国际实验室中外方研究人员联合培养研究生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成功申报国际科研项目或国际交流类项目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项 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在国外高水平期刊上联合发表（共同署名）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学术论文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篇 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以国际实验室名义组织举办中外学术研讨会、学术论坛等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国际实验室外籍成员作学术报告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次 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国际实验室中外方研究人员联合培养博士研究生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人至少完成 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2365" w:type="dxa"/>
            <w:vMerge w:val="restart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成功获批国际科研项目或国际交流类项目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项 </w:t>
            </w:r>
          </w:p>
        </w:tc>
        <w:tc>
          <w:tcPr>
            <w:tcW w:w="2365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149860</wp:posOffset>
                      </wp:positionV>
                      <wp:extent cx="1800225" cy="1047750"/>
                      <wp:effectExtent l="6350" t="6350" r="22225" b="146050"/>
                      <wp:wrapNone/>
                      <wp:docPr id="1" name="椭圆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477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填报指南：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培育经费使用完成程度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为具体数量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248.1pt;margin-top:11.8pt;height:82.5pt;width:141.75pt;z-index:251657216;v-text-anchor:middle;mso-width-relative:page;mso-height-relative:page;" fillcolor="#5B9BD5 [3204]" filled="t" stroked="t" coordsize="21600,21600" o:gfxdata="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l+NE/2QAAAAoBAAAP&#10;AAAAAAAAAAEAIAAAACIAAABkcnMvZG93bnJldi54bWxQSwECFAAUAAAACACHTuJAIDZqu4kCAADr&#10;BAAADgAAAAAAAAABACAAAAAoAQAAZHJzL2Uyb0RvYy54bWxQSwUGAAAAAAYABgBZAQAAIwYAAAAA&#10;" adj="6300,243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填报指南：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培育经费使用完成程度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为具体数量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在国外高水平期刊上联合发表（共同署名）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（一区）学术论文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≥1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篇 </w:t>
            </w:r>
          </w:p>
        </w:tc>
        <w:tc>
          <w:tcPr>
            <w:tcW w:w="2365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国际实验室主办或承办经上级主管部门审批备案的国际学术会议≧</w:t>
            </w: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 </w:t>
            </w:r>
          </w:p>
        </w:tc>
        <w:tc>
          <w:tcPr>
            <w:tcW w:w="2365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2019年培育经费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使用完成程度</w:t>
            </w: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外籍专家国际旅费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外籍专家科研及劳务补贴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外籍专家食宿及交通补贴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联合发布论文版面费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学术交流国内差旅费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专家劳务费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05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项目申报资料费、印刷费及低值设备费</w:t>
            </w:r>
          </w:p>
        </w:tc>
        <w:tc>
          <w:tcPr>
            <w:tcW w:w="236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2" w:type="dxa"/>
            <w:gridSpan w:val="3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学院自评意见：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(注：自评意见为：优秀、合格、有条件合格、不合格）</w:t>
            </w:r>
          </w:p>
          <w:p>
            <w:pPr>
              <w:ind w:left="5460" w:hanging="5460" w:hangingChars="2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         学院负责人（签名）：          </w:t>
            </w:r>
          </w:p>
          <w:p>
            <w:pPr>
              <w:wordWrap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日  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2" w:type="dxa"/>
            <w:gridSpan w:val="3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学校考核意见：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(注：考核意见为：优秀、合格、有条件合格、不合格）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主管校领导（签名）：            </w:t>
            </w:r>
          </w:p>
          <w:p>
            <w:pPr>
              <w:wordWrap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日  期：          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注：正文部分请正反面打印。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353C"/>
    <w:rsid w:val="00A94545"/>
    <w:rsid w:val="05A066B4"/>
    <w:rsid w:val="065E32BE"/>
    <w:rsid w:val="06E93E35"/>
    <w:rsid w:val="08D72483"/>
    <w:rsid w:val="0ABD33BB"/>
    <w:rsid w:val="0AC56937"/>
    <w:rsid w:val="0CF4624F"/>
    <w:rsid w:val="0E180134"/>
    <w:rsid w:val="0E716308"/>
    <w:rsid w:val="0F3C1A9F"/>
    <w:rsid w:val="102D12E8"/>
    <w:rsid w:val="10CA2409"/>
    <w:rsid w:val="123514EE"/>
    <w:rsid w:val="17FF2A43"/>
    <w:rsid w:val="1DA34501"/>
    <w:rsid w:val="1E2718D3"/>
    <w:rsid w:val="203105D2"/>
    <w:rsid w:val="23F16DF6"/>
    <w:rsid w:val="251970FF"/>
    <w:rsid w:val="259D5389"/>
    <w:rsid w:val="269B1FCD"/>
    <w:rsid w:val="26A7262D"/>
    <w:rsid w:val="27813BAF"/>
    <w:rsid w:val="278A1812"/>
    <w:rsid w:val="2890403D"/>
    <w:rsid w:val="28F328BB"/>
    <w:rsid w:val="2A275217"/>
    <w:rsid w:val="2B1B56B4"/>
    <w:rsid w:val="2C361AB4"/>
    <w:rsid w:val="2CF95742"/>
    <w:rsid w:val="2E28718C"/>
    <w:rsid w:val="2EF244CD"/>
    <w:rsid w:val="2FB91E9C"/>
    <w:rsid w:val="2FBE2829"/>
    <w:rsid w:val="311F33A9"/>
    <w:rsid w:val="31737C5B"/>
    <w:rsid w:val="31F72EDD"/>
    <w:rsid w:val="31F77304"/>
    <w:rsid w:val="324330D2"/>
    <w:rsid w:val="330177B9"/>
    <w:rsid w:val="34606B2D"/>
    <w:rsid w:val="365E31E7"/>
    <w:rsid w:val="36AE68BE"/>
    <w:rsid w:val="36BC4D18"/>
    <w:rsid w:val="38872942"/>
    <w:rsid w:val="38C644F8"/>
    <w:rsid w:val="39B4575E"/>
    <w:rsid w:val="3CF80AE8"/>
    <w:rsid w:val="3E2912A2"/>
    <w:rsid w:val="4278235E"/>
    <w:rsid w:val="434E29B8"/>
    <w:rsid w:val="45914996"/>
    <w:rsid w:val="487C2446"/>
    <w:rsid w:val="48DD5A63"/>
    <w:rsid w:val="49684019"/>
    <w:rsid w:val="4A0B28E3"/>
    <w:rsid w:val="4AFF0EBA"/>
    <w:rsid w:val="4C550E14"/>
    <w:rsid w:val="513E2A92"/>
    <w:rsid w:val="521C3270"/>
    <w:rsid w:val="527A1B08"/>
    <w:rsid w:val="53A6637B"/>
    <w:rsid w:val="541B2DF6"/>
    <w:rsid w:val="54646E01"/>
    <w:rsid w:val="56EE18F7"/>
    <w:rsid w:val="581A13D9"/>
    <w:rsid w:val="58FE3E1E"/>
    <w:rsid w:val="5BEA032C"/>
    <w:rsid w:val="5DE81144"/>
    <w:rsid w:val="60A472F6"/>
    <w:rsid w:val="61A30C22"/>
    <w:rsid w:val="636E57BC"/>
    <w:rsid w:val="639969C7"/>
    <w:rsid w:val="64677E85"/>
    <w:rsid w:val="652F0377"/>
    <w:rsid w:val="660F4E42"/>
    <w:rsid w:val="664C5287"/>
    <w:rsid w:val="66FE046C"/>
    <w:rsid w:val="672974F8"/>
    <w:rsid w:val="67B2631A"/>
    <w:rsid w:val="67CD1A81"/>
    <w:rsid w:val="689A0D66"/>
    <w:rsid w:val="68D943CF"/>
    <w:rsid w:val="69DB1A62"/>
    <w:rsid w:val="6A994892"/>
    <w:rsid w:val="6C816779"/>
    <w:rsid w:val="6CC91193"/>
    <w:rsid w:val="6D903761"/>
    <w:rsid w:val="6E2E34B5"/>
    <w:rsid w:val="6EDC4F12"/>
    <w:rsid w:val="6EFC04CB"/>
    <w:rsid w:val="6F3B52ED"/>
    <w:rsid w:val="6F490C86"/>
    <w:rsid w:val="6F627739"/>
    <w:rsid w:val="6FA75C08"/>
    <w:rsid w:val="70974070"/>
    <w:rsid w:val="720E24D6"/>
    <w:rsid w:val="733D4489"/>
    <w:rsid w:val="73512FD3"/>
    <w:rsid w:val="7367247D"/>
    <w:rsid w:val="73E67A8B"/>
    <w:rsid w:val="74655809"/>
    <w:rsid w:val="768139BD"/>
    <w:rsid w:val="77217B34"/>
    <w:rsid w:val="77284ED4"/>
    <w:rsid w:val="77A94699"/>
    <w:rsid w:val="7A42247C"/>
    <w:rsid w:val="7B0806F8"/>
    <w:rsid w:val="7B0F2D98"/>
    <w:rsid w:val="7C15669A"/>
    <w:rsid w:val="7C805AA2"/>
    <w:rsid w:val="7D0D7601"/>
    <w:rsid w:val="7D3C6DBF"/>
    <w:rsid w:val="7D5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2020-03-09T07:13:02Z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